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94" w:rsidRDefault="00683803" w:rsidP="00683394">
      <w:pPr>
        <w:outlineLvl w:val="0"/>
        <w:rPr>
          <w:rFonts w:ascii="Tahoma" w:hAnsi="Tahoma" w:cs="Tahoma"/>
          <w:b/>
          <w:sz w:val="20"/>
          <w:szCs w:val="20"/>
        </w:rPr>
      </w:pPr>
      <w:r>
        <w:rPr>
          <w:rFonts w:ascii="Tahoma" w:hAnsi="Tahoma" w:cs="Tahoma"/>
          <w:b/>
          <w:sz w:val="20"/>
          <w:szCs w:val="20"/>
        </w:rPr>
        <w:t xml:space="preserve">WASHINGTON: </w:t>
      </w:r>
      <w:r w:rsidR="00683394" w:rsidRPr="00C03855">
        <w:rPr>
          <w:rFonts w:ascii="Tahoma" w:hAnsi="Tahoma" w:cs="Tahoma"/>
          <w:b/>
          <w:sz w:val="20"/>
          <w:szCs w:val="20"/>
        </w:rPr>
        <w:t>Yakima County Health District orders residents to stay home except for essential activities</w:t>
      </w:r>
    </w:p>
    <w:p w:rsidR="00C03855" w:rsidRPr="00C03855" w:rsidRDefault="00C03855" w:rsidP="00683394">
      <w:pPr>
        <w:outlineLvl w:val="0"/>
        <w:rPr>
          <w:rFonts w:ascii="Tahoma" w:hAnsi="Tahoma" w:cs="Tahoma"/>
          <w:sz w:val="20"/>
          <w:szCs w:val="20"/>
        </w:rPr>
      </w:pPr>
      <w:r>
        <w:rPr>
          <w:rFonts w:ascii="Tahoma" w:hAnsi="Tahoma" w:cs="Tahoma"/>
          <w:sz w:val="20"/>
          <w:szCs w:val="20"/>
        </w:rPr>
        <w:t>(</w:t>
      </w:r>
      <w:r w:rsidRPr="00C03855">
        <w:rPr>
          <w:rFonts w:ascii="Tahoma" w:hAnsi="Tahoma" w:cs="Tahoma"/>
          <w:sz w:val="20"/>
          <w:szCs w:val="20"/>
        </w:rPr>
        <w:t>Monday, March 23, 2020</w:t>
      </w:r>
      <w:r>
        <w:rPr>
          <w:rFonts w:ascii="Tahoma" w:hAnsi="Tahoma" w:cs="Tahoma"/>
          <w:sz w:val="20"/>
          <w:szCs w:val="20"/>
        </w:rPr>
        <w:t>)</w:t>
      </w:r>
    </w:p>
    <w:p w:rsidR="00683394" w:rsidRDefault="00683394" w:rsidP="00683394"/>
    <w:p w:rsidR="00683803" w:rsidRDefault="00683803" w:rsidP="00683803">
      <w:pPr>
        <w:pStyle w:val="NoSpacing"/>
      </w:pPr>
      <w:r>
        <w:t>To our members with locations in Yakima County,</w:t>
      </w:r>
    </w:p>
    <w:p w:rsidR="00683803" w:rsidRDefault="00683803" w:rsidP="00683394"/>
    <w:p w:rsidR="00683394" w:rsidRDefault="00683394" w:rsidP="00683394">
      <w:pPr>
        <w:pStyle w:val="NoSpacing"/>
      </w:pPr>
      <w:r>
        <w:t>In response to the COVID-19 (coronavirus) pandemic, Dr. Teresa Everson, Health Officer of the Yakima County Health District</w:t>
      </w:r>
      <w:r w:rsidR="00683803">
        <w:t xml:space="preserve"> in Washington</w:t>
      </w:r>
      <w:r>
        <w:t xml:space="preserve">, has issued </w:t>
      </w:r>
      <w:hyperlink r:id="rId8" w:history="1">
        <w:r>
          <w:rPr>
            <w:rStyle w:val="Hyperlink"/>
          </w:rPr>
          <w:t>an order</w:t>
        </w:r>
      </w:hyperlink>
      <w:r>
        <w:t xml:space="preserve"> for Yakima County residents to stay home except to engage in essential personal activities or to maintain continuity of critical infrastructure sectors. Here’s what you need to know:</w:t>
      </w:r>
    </w:p>
    <w:p w:rsidR="00683394" w:rsidRDefault="00683394" w:rsidP="00683394">
      <w:pPr>
        <w:pStyle w:val="NoSpacing"/>
      </w:pPr>
    </w:p>
    <w:p w:rsidR="00683394" w:rsidRDefault="00683394" w:rsidP="00683394">
      <w:pPr>
        <w:pStyle w:val="NoSpacing"/>
        <w:numPr>
          <w:ilvl w:val="0"/>
          <w:numId w:val="1"/>
        </w:numPr>
      </w:pPr>
      <w:r>
        <w:rPr>
          <w:i/>
          <w:iCs/>
        </w:rPr>
        <w:t xml:space="preserve">When did the order go into place and how long will it last? </w:t>
      </w:r>
      <w:r>
        <w:t>From Sunday evening, March 22, 2020, until further notice.</w:t>
      </w:r>
    </w:p>
    <w:p w:rsidR="00683394" w:rsidRDefault="00683394" w:rsidP="00683394">
      <w:pPr>
        <w:pStyle w:val="NoSpacing"/>
        <w:numPr>
          <w:ilvl w:val="0"/>
          <w:numId w:val="1"/>
        </w:numPr>
      </w:pPr>
      <w:r>
        <w:rPr>
          <w:i/>
          <w:iCs/>
        </w:rPr>
        <w:t xml:space="preserve">Is this order binding and will it be enforced? </w:t>
      </w:r>
      <w:r>
        <w:t xml:space="preserve">It purports to be binding, although the order doesn’t cite specific statutory authority. How the order will be enforced is unclear at this time, although there’s a local phone number in the order that individuals can call if they believe the order is being violated. </w:t>
      </w:r>
    </w:p>
    <w:p w:rsidR="00683394" w:rsidRDefault="00683394" w:rsidP="00683394">
      <w:pPr>
        <w:pStyle w:val="NoSpacing"/>
        <w:numPr>
          <w:ilvl w:val="0"/>
          <w:numId w:val="1"/>
        </w:numPr>
      </w:pPr>
      <w:r>
        <w:rPr>
          <w:i/>
          <w:iCs/>
        </w:rPr>
        <w:t xml:space="preserve">Who does the order apply to? </w:t>
      </w:r>
      <w:r>
        <w:t>Yakima County residents and businesses. The order itself only speaks to actual Yakima County residents, but it’s clear the intent is for the order to apply to businesses in Yakima County, regardless of where those controlling the business happen to reside.</w:t>
      </w:r>
    </w:p>
    <w:p w:rsidR="00683394" w:rsidRDefault="00683394" w:rsidP="00683394">
      <w:pPr>
        <w:pStyle w:val="NoSpacing"/>
        <w:numPr>
          <w:ilvl w:val="0"/>
          <w:numId w:val="1"/>
        </w:numPr>
      </w:pPr>
      <w:r>
        <w:rPr>
          <w:i/>
          <w:iCs/>
        </w:rPr>
        <w:t xml:space="preserve">What does the order ask Yakima County residents and businesses to do? </w:t>
      </w:r>
      <w:r>
        <w:t>Stay home, except to engage in essential personal activities or to maintain continuity of critical infrastructure sectors.</w:t>
      </w:r>
    </w:p>
    <w:p w:rsidR="00683394" w:rsidRDefault="00683394" w:rsidP="00683394">
      <w:pPr>
        <w:pStyle w:val="NoSpacing"/>
        <w:numPr>
          <w:ilvl w:val="0"/>
          <w:numId w:val="1"/>
        </w:numPr>
      </w:pPr>
      <w:r>
        <w:rPr>
          <w:i/>
          <w:iCs/>
        </w:rPr>
        <w:t xml:space="preserve">What are essential personal activities? </w:t>
      </w:r>
      <w:r>
        <w:t xml:space="preserve">Essential personal activities include getting food, medication, and medical care. </w:t>
      </w:r>
    </w:p>
    <w:p w:rsidR="00683394" w:rsidRDefault="00683394" w:rsidP="00683394">
      <w:pPr>
        <w:pStyle w:val="NoSpacing"/>
        <w:numPr>
          <w:ilvl w:val="0"/>
          <w:numId w:val="1"/>
        </w:numPr>
      </w:pPr>
      <w:r>
        <w:rPr>
          <w:i/>
          <w:iCs/>
        </w:rPr>
        <w:t xml:space="preserve">What are essential business activities? </w:t>
      </w:r>
      <w:r>
        <w:t xml:space="preserve">As a starting point, the order lists 11 categories of work deemed essential. The list isn’t all-inclusive, however. Importantly, the order references “critical infrastructure sectors,” which is presumably a reference to the Department of Homeland Security’s (DHS) </w:t>
      </w:r>
      <w:hyperlink r:id="rId9" w:history="1">
        <w:r>
          <w:rPr>
            <w:rStyle w:val="Hyperlink"/>
          </w:rPr>
          <w:t>list of critical infrastructure sectors</w:t>
        </w:r>
      </w:hyperlink>
      <w:r>
        <w:t xml:space="preserve">. DHS’s list also includes </w:t>
      </w:r>
      <w:hyperlink r:id="rId10" w:history="1">
        <w:r>
          <w:rPr>
            <w:rStyle w:val="Hyperlink"/>
          </w:rPr>
          <w:t>specific guidance for businesses</w:t>
        </w:r>
      </w:hyperlink>
      <w:r>
        <w:t xml:space="preserve"> to identify workers whose jobs are critical to our nation’s infrastructure.</w:t>
      </w:r>
    </w:p>
    <w:p w:rsidR="00683394" w:rsidRDefault="00683394" w:rsidP="00683394">
      <w:pPr>
        <w:pStyle w:val="NoSpacing"/>
        <w:numPr>
          <w:ilvl w:val="0"/>
          <w:numId w:val="1"/>
        </w:numPr>
      </w:pPr>
      <w:r>
        <w:rPr>
          <w:i/>
          <w:iCs/>
        </w:rPr>
        <w:t xml:space="preserve">What should our business in Yakima County do? </w:t>
      </w:r>
      <w:r>
        <w:t xml:space="preserve">Although the extent to which this order will be enforced is unclear at this time, Vigilant encourages our members to review the 11 categories identified by the order and the 16 categories in the DHS guidance to determine whether you have workers who are essential to a critical infrastructure sector. Review the categories carefully; you may be surprised at how broad they are. For example, the order lists “Agriculture/food” and under DHS’s “Food and Agriculture” sector, one of the categories is “Workers who support the manufacture and distribution of forest products, including, but not limited to timber, paper, and other wood products.”  The order also lists “Manufacturing that supports critical functions” and DHS’s “Critical Manufacturing” sector includes: “Workers necessary for the manufacturing of materials and products needed for medical supply chains, transportation, energy, communications, food and agriculture, chemical manufacturing, nuclear facilities, the operation of dams, water and wastewater treatment, emergency services, and the defense industrial base.” If you remain open, you should make every effort to follow the guidance in the order, including ensuring each worker stays at least 6 feet from other people and that frequently touched surfaces are cleaned regularly. Additionally, be sure to review and comply with as much of the guidance for businesses from the </w:t>
      </w:r>
      <w:hyperlink r:id="rId11" w:history="1">
        <w:r>
          <w:rPr>
            <w:rStyle w:val="Hyperlink"/>
          </w:rPr>
          <w:t xml:space="preserve">Centers for Disease Control and </w:t>
        </w:r>
        <w:bookmarkStart w:id="0" w:name="_GoBack"/>
        <w:bookmarkEnd w:id="0"/>
        <w:r>
          <w:rPr>
            <w:rStyle w:val="Hyperlink"/>
          </w:rPr>
          <w:t>Prevention</w:t>
        </w:r>
      </w:hyperlink>
      <w:r>
        <w:t xml:space="preserve"> and the </w:t>
      </w:r>
      <w:hyperlink r:id="rId12" w:history="1">
        <w:r>
          <w:rPr>
            <w:rStyle w:val="Hyperlink"/>
          </w:rPr>
          <w:t>Occupational Safety and Health Administration</w:t>
        </w:r>
      </w:hyperlink>
      <w:r>
        <w:t xml:space="preserve"> as possible.</w:t>
      </w:r>
    </w:p>
    <w:p w:rsidR="00683394" w:rsidRDefault="00683394" w:rsidP="00683394">
      <w:pPr>
        <w:pStyle w:val="NoSpacing"/>
        <w:numPr>
          <w:ilvl w:val="0"/>
          <w:numId w:val="1"/>
        </w:numPr>
      </w:pPr>
      <w:r>
        <w:rPr>
          <w:i/>
          <w:iCs/>
        </w:rPr>
        <w:lastRenderedPageBreak/>
        <w:t xml:space="preserve">If we decide to close, what should we do? </w:t>
      </w:r>
      <w:r>
        <w:t>Spend time thinking through how to minimize the impact on your employees and business. This will of course include notifying employees of the closure and giving them guidance on how to remain in contact with you as you continue to navigate the situation. If you employ 100 or more workers and at least 50 of them will be sent home, contact us to determine whether you need to comply with the notice requirements of the Worker Adjustment and Retraining Notification Act (WARN Act), and see our Legal Guide, “At a Glance: WARN Act” (</w:t>
      </w:r>
      <w:hyperlink r:id="rId13" w:history="1">
        <w:r>
          <w:rPr>
            <w:rStyle w:val="Hyperlink"/>
          </w:rPr>
          <w:t>5793</w:t>
        </w:r>
      </w:hyperlink>
      <w:r>
        <w:t xml:space="preserve">). If employees can perform any work at home, you should implement necessary steps to allow them to continue working. For employees who cannot continue working, inform them of the paid leave they might have through you and direct them to the </w:t>
      </w:r>
      <w:hyperlink r:id="rId14" w:history="1">
        <w:r>
          <w:rPr>
            <w:rStyle w:val="Hyperlink"/>
          </w:rPr>
          <w:t>Employment Security Department</w:t>
        </w:r>
      </w:hyperlink>
      <w:r>
        <w:t xml:space="preserve"> to evaluate their options for receiving unemployment while the order is in place. Based on our current understanding of the </w:t>
      </w:r>
      <w:hyperlink r:id="rId15" w:tgtFrame="_blank" w:history="1">
        <w:r>
          <w:rPr>
            <w:rStyle w:val="Hyperlink"/>
          </w:rPr>
          <w:t>Families First Coronavirus Response Act</w:t>
        </w:r>
      </w:hyperlink>
      <w:r>
        <w:t xml:space="preserve"> (FFCRA), signed by President Trump last week, your workers who aren’t leaving their jobs due to illness or school closures (i.e., those being held off work due to this order), won’t qualify for the Emergency Paid Sick Leave (EPSL) or Emergency Family and Medical Leave Act (EFMLA) in the FFCRA. Please see our </w:t>
      </w:r>
      <w:hyperlink r:id="rId16" w:history="1">
        <w:r>
          <w:rPr>
            <w:rStyle w:val="Hyperlink"/>
          </w:rPr>
          <w:t>Alert</w:t>
        </w:r>
      </w:hyperlink>
      <w:r>
        <w:t xml:space="preserve"> for more information on this new law, and remember our guidance is likely to change as rules are issued by the Department of Labor.</w:t>
      </w:r>
    </w:p>
    <w:p w:rsidR="00683394" w:rsidRDefault="00683394" w:rsidP="00683394">
      <w:pPr>
        <w:pStyle w:val="NoSpacing"/>
        <w:rPr>
          <w:i/>
          <w:iCs/>
        </w:rPr>
      </w:pPr>
    </w:p>
    <w:p w:rsidR="00683394" w:rsidRDefault="00683394" w:rsidP="00683394">
      <w:pPr>
        <w:pStyle w:val="NoSpacing"/>
      </w:pPr>
      <w:r>
        <w:t xml:space="preserve">Please email </w:t>
      </w:r>
      <w:r w:rsidR="00C03855">
        <w:t>your Vigilant Law Group employment attorney</w:t>
      </w:r>
      <w:r>
        <w:t xml:space="preserve"> with your questions, but please also understand that all of our Yakima County members are urgently trying to understand what this order means for their businesses. </w:t>
      </w:r>
      <w:r w:rsidR="00C03855">
        <w:t>We’ll</w:t>
      </w:r>
      <w:r>
        <w:t xml:space="preserve"> assist members as quickly </w:t>
      </w:r>
      <w:r w:rsidR="00C03855">
        <w:t>we’re</w:t>
      </w:r>
      <w:r>
        <w:t xml:space="preserve"> able, but </w:t>
      </w:r>
      <w:r w:rsidR="00C03855">
        <w:t>we’re</w:t>
      </w:r>
      <w:r>
        <w:t xml:space="preserve"> receiving a high volume of questions, so please be patient </w:t>
      </w:r>
      <w:r w:rsidR="00C03855">
        <w:t>as we</w:t>
      </w:r>
      <w:r>
        <w:t xml:space="preserve"> respond to your questions and concerns.</w:t>
      </w:r>
    </w:p>
    <w:p w:rsidR="00683394" w:rsidRDefault="00683394" w:rsidP="00683394">
      <w:pPr>
        <w:pStyle w:val="NoSpacing"/>
      </w:pPr>
    </w:p>
    <w:p w:rsidR="009B4CBC" w:rsidRDefault="009B4CBC"/>
    <w:sectPr w:rsidR="009B4CB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F5" w:rsidRDefault="003339F5" w:rsidP="003339F5">
      <w:r>
        <w:separator/>
      </w:r>
    </w:p>
  </w:endnote>
  <w:endnote w:type="continuationSeparator" w:id="0">
    <w:p w:rsidR="003339F5" w:rsidRDefault="003339F5" w:rsidP="0033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F5" w:rsidRDefault="003339F5">
    <w:pPr>
      <w:pStyle w:val="Footer"/>
    </w:pPr>
    <w:r w:rsidRPr="001020E0">
      <w:t>©2020 Vigilant. All rights reserved. This information is not legal advice. Before applying this information to specific management decisions, consult legal counsel or your Vigilant Law Group employment attorney at 503-419-1923.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F5" w:rsidRDefault="003339F5" w:rsidP="003339F5">
      <w:r>
        <w:separator/>
      </w:r>
    </w:p>
  </w:footnote>
  <w:footnote w:type="continuationSeparator" w:id="0">
    <w:p w:rsidR="003339F5" w:rsidRDefault="003339F5" w:rsidP="00333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229B"/>
    <w:multiLevelType w:val="hybridMultilevel"/>
    <w:tmpl w:val="E7762524"/>
    <w:lvl w:ilvl="0" w:tplc="774C12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94"/>
    <w:rsid w:val="003339F5"/>
    <w:rsid w:val="00683394"/>
    <w:rsid w:val="00683803"/>
    <w:rsid w:val="007B560A"/>
    <w:rsid w:val="008B69F8"/>
    <w:rsid w:val="009B4CBC"/>
    <w:rsid w:val="00C03855"/>
    <w:rsid w:val="00C8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Normal-body-copy"/>
    <w:qFormat/>
    <w:rsid w:val="00683394"/>
    <w:pPr>
      <w:spacing w:after="0" w:line="240" w:lineRule="auto"/>
    </w:pPr>
    <w:rPr>
      <w:rFonts w:ascii="Calibri" w:hAnsi="Calibri" w:cs="Calibri"/>
    </w:rPr>
  </w:style>
  <w:style w:type="paragraph" w:styleId="Heading1">
    <w:name w:val="heading 1"/>
    <w:aliases w:val="V-Main-First Heading"/>
    <w:basedOn w:val="Normal"/>
    <w:next w:val="Normal"/>
    <w:link w:val="Heading1Char"/>
    <w:uiPriority w:val="9"/>
    <w:qFormat/>
    <w:rsid w:val="008B69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V-Paragraph Headings"/>
    <w:basedOn w:val="Normal"/>
    <w:next w:val="Normal"/>
    <w:link w:val="Heading2Char"/>
    <w:uiPriority w:val="9"/>
    <w:semiHidden/>
    <w:unhideWhenUsed/>
    <w:qFormat/>
    <w:rsid w:val="00C800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mphasis-italicized">
    <w:name w:val="V-Emphasis-italicized"/>
    <w:basedOn w:val="Normal"/>
    <w:rsid w:val="00C800B0"/>
    <w:rPr>
      <w:rFonts w:cs="Arial"/>
      <w:i/>
    </w:rPr>
  </w:style>
  <w:style w:type="paragraph" w:customStyle="1" w:styleId="V-Endnotes">
    <w:name w:val="V-Endnotes"/>
    <w:basedOn w:val="EndnoteText"/>
    <w:link w:val="V-EndnotesChar"/>
    <w:rsid w:val="00C800B0"/>
    <w:pPr>
      <w:spacing w:before="240"/>
    </w:pPr>
    <w:rPr>
      <w:rFonts w:cs="Arial"/>
    </w:rPr>
  </w:style>
  <w:style w:type="character" w:customStyle="1" w:styleId="V-EndnotesChar">
    <w:name w:val="V-Endnotes Char"/>
    <w:basedOn w:val="EndnoteTextChar"/>
    <w:link w:val="V-Endnotes"/>
    <w:rsid w:val="00C800B0"/>
    <w:rPr>
      <w:rFonts w:ascii="Arial" w:eastAsia="Times New Roman" w:hAnsi="Arial" w:cs="Arial"/>
      <w:sz w:val="20"/>
      <w:szCs w:val="20"/>
    </w:rPr>
  </w:style>
  <w:style w:type="paragraph" w:styleId="EndnoteText">
    <w:name w:val="endnote text"/>
    <w:basedOn w:val="Normal"/>
    <w:link w:val="EndnoteTextChar"/>
    <w:uiPriority w:val="99"/>
    <w:semiHidden/>
    <w:unhideWhenUsed/>
    <w:rsid w:val="00C800B0"/>
    <w:rPr>
      <w:sz w:val="20"/>
      <w:szCs w:val="20"/>
    </w:rPr>
  </w:style>
  <w:style w:type="character" w:customStyle="1" w:styleId="EndnoteTextChar">
    <w:name w:val="Endnote Text Char"/>
    <w:basedOn w:val="DefaultParagraphFont"/>
    <w:link w:val="EndnoteText"/>
    <w:uiPriority w:val="99"/>
    <w:semiHidden/>
    <w:rsid w:val="00C800B0"/>
    <w:rPr>
      <w:sz w:val="20"/>
      <w:szCs w:val="20"/>
    </w:rPr>
  </w:style>
  <w:style w:type="paragraph" w:customStyle="1" w:styleId="V-Hyperlink-blue">
    <w:name w:val="V-Hyperlink-blue"/>
    <w:basedOn w:val="Normal"/>
    <w:link w:val="V-Hyperlink-blueChar"/>
    <w:rsid w:val="00C800B0"/>
    <w:rPr>
      <w:color w:val="27A7B9"/>
      <w:u w:val="single"/>
    </w:rPr>
  </w:style>
  <w:style w:type="character" w:customStyle="1" w:styleId="V-Hyperlink-blueChar">
    <w:name w:val="V-Hyperlink-blue Char"/>
    <w:basedOn w:val="DefaultParagraphFont"/>
    <w:link w:val="V-Hyperlink-blue"/>
    <w:rsid w:val="00C800B0"/>
    <w:rPr>
      <w:rFonts w:ascii="Arial" w:eastAsia="Times New Roman" w:hAnsi="Arial" w:cs="Times New Roman"/>
      <w:color w:val="27A7B9"/>
      <w:sz w:val="24"/>
      <w:szCs w:val="24"/>
      <w:u w:val="single"/>
    </w:rPr>
  </w:style>
  <w:style w:type="paragraph" w:customStyle="1" w:styleId="V-Hyperlink-blue-endnote">
    <w:name w:val="V-Hyperlink-blue-endnote"/>
    <w:basedOn w:val="EndnoteText"/>
    <w:link w:val="V-Hyperlink-blue-endnoteChar"/>
    <w:rsid w:val="00C800B0"/>
    <w:rPr>
      <w:color w:val="27A7B9"/>
      <w:u w:val="single"/>
    </w:rPr>
  </w:style>
  <w:style w:type="character" w:customStyle="1" w:styleId="V-Hyperlink-blue-endnoteChar">
    <w:name w:val="V-Hyperlink-blue-endnote Char"/>
    <w:basedOn w:val="EndnoteTextChar"/>
    <w:link w:val="V-Hyperlink-blue-endnote"/>
    <w:rsid w:val="00C800B0"/>
    <w:rPr>
      <w:rFonts w:ascii="Arial" w:eastAsia="Times New Roman" w:hAnsi="Arial" w:cs="Times New Roman"/>
      <w:color w:val="27A7B9"/>
      <w:sz w:val="20"/>
      <w:szCs w:val="20"/>
      <w:u w:val="single"/>
    </w:rPr>
  </w:style>
  <w:style w:type="paragraph" w:customStyle="1" w:styleId="V-Italicized-body-copy">
    <w:name w:val="V-Italicized-body-copy"/>
    <w:basedOn w:val="Normal"/>
    <w:link w:val="V-Italicized-body-copyChar"/>
    <w:rsid w:val="00C800B0"/>
    <w:pPr>
      <w:spacing w:before="120" w:after="120"/>
    </w:pPr>
    <w:rPr>
      <w:rFonts w:cs="Arial"/>
      <w:i/>
    </w:rPr>
  </w:style>
  <w:style w:type="character" w:customStyle="1" w:styleId="V-Italicized-body-copyChar">
    <w:name w:val="V-Italicized-body-copy Char"/>
    <w:basedOn w:val="DefaultParagraphFont"/>
    <w:link w:val="V-Italicized-body-copy"/>
    <w:rsid w:val="00C800B0"/>
    <w:rPr>
      <w:rFonts w:ascii="Arial" w:eastAsia="Times New Roman" w:hAnsi="Arial" w:cs="Arial"/>
      <w:i/>
      <w:sz w:val="24"/>
      <w:szCs w:val="24"/>
    </w:rPr>
  </w:style>
  <w:style w:type="character" w:customStyle="1" w:styleId="Heading1Char">
    <w:name w:val="Heading 1 Char"/>
    <w:aliases w:val="V-Main-First Heading Char"/>
    <w:basedOn w:val="DefaultParagraphFont"/>
    <w:link w:val="Heading1"/>
    <w:uiPriority w:val="9"/>
    <w:rsid w:val="008B69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V-Paragraph Headings Char"/>
    <w:link w:val="Heading2"/>
    <w:uiPriority w:val="9"/>
    <w:semiHidden/>
    <w:rsid w:val="00C800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69F8"/>
    <w:pPr>
      <w:ind w:left="720"/>
    </w:pPr>
  </w:style>
  <w:style w:type="character" w:styleId="Hyperlink">
    <w:name w:val="Hyperlink"/>
    <w:basedOn w:val="DefaultParagraphFont"/>
    <w:uiPriority w:val="99"/>
    <w:semiHidden/>
    <w:unhideWhenUsed/>
    <w:rsid w:val="00683394"/>
    <w:rPr>
      <w:color w:val="0000FF"/>
      <w:u w:val="single"/>
    </w:rPr>
  </w:style>
  <w:style w:type="paragraph" w:styleId="NoSpacing">
    <w:name w:val="No Spacing"/>
    <w:basedOn w:val="Normal"/>
    <w:uiPriority w:val="1"/>
    <w:qFormat/>
    <w:rsid w:val="00683394"/>
  </w:style>
  <w:style w:type="paragraph" w:styleId="Header">
    <w:name w:val="header"/>
    <w:basedOn w:val="Normal"/>
    <w:link w:val="HeaderChar"/>
    <w:uiPriority w:val="99"/>
    <w:unhideWhenUsed/>
    <w:rsid w:val="003339F5"/>
    <w:pPr>
      <w:tabs>
        <w:tab w:val="center" w:pos="4680"/>
        <w:tab w:val="right" w:pos="9360"/>
      </w:tabs>
    </w:pPr>
  </w:style>
  <w:style w:type="character" w:customStyle="1" w:styleId="HeaderChar">
    <w:name w:val="Header Char"/>
    <w:basedOn w:val="DefaultParagraphFont"/>
    <w:link w:val="Header"/>
    <w:uiPriority w:val="99"/>
    <w:rsid w:val="003339F5"/>
    <w:rPr>
      <w:rFonts w:ascii="Calibri" w:hAnsi="Calibri" w:cs="Calibri"/>
    </w:rPr>
  </w:style>
  <w:style w:type="paragraph" w:styleId="Footer">
    <w:name w:val="footer"/>
    <w:basedOn w:val="Normal"/>
    <w:link w:val="FooterChar"/>
    <w:uiPriority w:val="99"/>
    <w:unhideWhenUsed/>
    <w:rsid w:val="003339F5"/>
    <w:pPr>
      <w:tabs>
        <w:tab w:val="center" w:pos="4680"/>
        <w:tab w:val="right" w:pos="9360"/>
      </w:tabs>
    </w:pPr>
  </w:style>
  <w:style w:type="character" w:customStyle="1" w:styleId="FooterChar">
    <w:name w:val="Footer Char"/>
    <w:basedOn w:val="DefaultParagraphFont"/>
    <w:link w:val="Footer"/>
    <w:uiPriority w:val="99"/>
    <w:rsid w:val="003339F5"/>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Normal-body-copy"/>
    <w:qFormat/>
    <w:rsid w:val="00683394"/>
    <w:pPr>
      <w:spacing w:after="0" w:line="240" w:lineRule="auto"/>
    </w:pPr>
    <w:rPr>
      <w:rFonts w:ascii="Calibri" w:hAnsi="Calibri" w:cs="Calibri"/>
    </w:rPr>
  </w:style>
  <w:style w:type="paragraph" w:styleId="Heading1">
    <w:name w:val="heading 1"/>
    <w:aliases w:val="V-Main-First Heading"/>
    <w:basedOn w:val="Normal"/>
    <w:next w:val="Normal"/>
    <w:link w:val="Heading1Char"/>
    <w:uiPriority w:val="9"/>
    <w:qFormat/>
    <w:rsid w:val="008B69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V-Paragraph Headings"/>
    <w:basedOn w:val="Normal"/>
    <w:next w:val="Normal"/>
    <w:link w:val="Heading2Char"/>
    <w:uiPriority w:val="9"/>
    <w:semiHidden/>
    <w:unhideWhenUsed/>
    <w:qFormat/>
    <w:rsid w:val="00C800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mphasis-italicized">
    <w:name w:val="V-Emphasis-italicized"/>
    <w:basedOn w:val="Normal"/>
    <w:rsid w:val="00C800B0"/>
    <w:rPr>
      <w:rFonts w:cs="Arial"/>
      <w:i/>
    </w:rPr>
  </w:style>
  <w:style w:type="paragraph" w:customStyle="1" w:styleId="V-Endnotes">
    <w:name w:val="V-Endnotes"/>
    <w:basedOn w:val="EndnoteText"/>
    <w:link w:val="V-EndnotesChar"/>
    <w:rsid w:val="00C800B0"/>
    <w:pPr>
      <w:spacing w:before="240"/>
    </w:pPr>
    <w:rPr>
      <w:rFonts w:cs="Arial"/>
    </w:rPr>
  </w:style>
  <w:style w:type="character" w:customStyle="1" w:styleId="V-EndnotesChar">
    <w:name w:val="V-Endnotes Char"/>
    <w:basedOn w:val="EndnoteTextChar"/>
    <w:link w:val="V-Endnotes"/>
    <w:rsid w:val="00C800B0"/>
    <w:rPr>
      <w:rFonts w:ascii="Arial" w:eastAsia="Times New Roman" w:hAnsi="Arial" w:cs="Arial"/>
      <w:sz w:val="20"/>
      <w:szCs w:val="20"/>
    </w:rPr>
  </w:style>
  <w:style w:type="paragraph" w:styleId="EndnoteText">
    <w:name w:val="endnote text"/>
    <w:basedOn w:val="Normal"/>
    <w:link w:val="EndnoteTextChar"/>
    <w:uiPriority w:val="99"/>
    <w:semiHidden/>
    <w:unhideWhenUsed/>
    <w:rsid w:val="00C800B0"/>
    <w:rPr>
      <w:sz w:val="20"/>
      <w:szCs w:val="20"/>
    </w:rPr>
  </w:style>
  <w:style w:type="character" w:customStyle="1" w:styleId="EndnoteTextChar">
    <w:name w:val="Endnote Text Char"/>
    <w:basedOn w:val="DefaultParagraphFont"/>
    <w:link w:val="EndnoteText"/>
    <w:uiPriority w:val="99"/>
    <w:semiHidden/>
    <w:rsid w:val="00C800B0"/>
    <w:rPr>
      <w:sz w:val="20"/>
      <w:szCs w:val="20"/>
    </w:rPr>
  </w:style>
  <w:style w:type="paragraph" w:customStyle="1" w:styleId="V-Hyperlink-blue">
    <w:name w:val="V-Hyperlink-blue"/>
    <w:basedOn w:val="Normal"/>
    <w:link w:val="V-Hyperlink-blueChar"/>
    <w:rsid w:val="00C800B0"/>
    <w:rPr>
      <w:color w:val="27A7B9"/>
      <w:u w:val="single"/>
    </w:rPr>
  </w:style>
  <w:style w:type="character" w:customStyle="1" w:styleId="V-Hyperlink-blueChar">
    <w:name w:val="V-Hyperlink-blue Char"/>
    <w:basedOn w:val="DefaultParagraphFont"/>
    <w:link w:val="V-Hyperlink-blue"/>
    <w:rsid w:val="00C800B0"/>
    <w:rPr>
      <w:rFonts w:ascii="Arial" w:eastAsia="Times New Roman" w:hAnsi="Arial" w:cs="Times New Roman"/>
      <w:color w:val="27A7B9"/>
      <w:sz w:val="24"/>
      <w:szCs w:val="24"/>
      <w:u w:val="single"/>
    </w:rPr>
  </w:style>
  <w:style w:type="paragraph" w:customStyle="1" w:styleId="V-Hyperlink-blue-endnote">
    <w:name w:val="V-Hyperlink-blue-endnote"/>
    <w:basedOn w:val="EndnoteText"/>
    <w:link w:val="V-Hyperlink-blue-endnoteChar"/>
    <w:rsid w:val="00C800B0"/>
    <w:rPr>
      <w:color w:val="27A7B9"/>
      <w:u w:val="single"/>
    </w:rPr>
  </w:style>
  <w:style w:type="character" w:customStyle="1" w:styleId="V-Hyperlink-blue-endnoteChar">
    <w:name w:val="V-Hyperlink-blue-endnote Char"/>
    <w:basedOn w:val="EndnoteTextChar"/>
    <w:link w:val="V-Hyperlink-blue-endnote"/>
    <w:rsid w:val="00C800B0"/>
    <w:rPr>
      <w:rFonts w:ascii="Arial" w:eastAsia="Times New Roman" w:hAnsi="Arial" w:cs="Times New Roman"/>
      <w:color w:val="27A7B9"/>
      <w:sz w:val="20"/>
      <w:szCs w:val="20"/>
      <w:u w:val="single"/>
    </w:rPr>
  </w:style>
  <w:style w:type="paragraph" w:customStyle="1" w:styleId="V-Italicized-body-copy">
    <w:name w:val="V-Italicized-body-copy"/>
    <w:basedOn w:val="Normal"/>
    <w:link w:val="V-Italicized-body-copyChar"/>
    <w:rsid w:val="00C800B0"/>
    <w:pPr>
      <w:spacing w:before="120" w:after="120"/>
    </w:pPr>
    <w:rPr>
      <w:rFonts w:cs="Arial"/>
      <w:i/>
    </w:rPr>
  </w:style>
  <w:style w:type="character" w:customStyle="1" w:styleId="V-Italicized-body-copyChar">
    <w:name w:val="V-Italicized-body-copy Char"/>
    <w:basedOn w:val="DefaultParagraphFont"/>
    <w:link w:val="V-Italicized-body-copy"/>
    <w:rsid w:val="00C800B0"/>
    <w:rPr>
      <w:rFonts w:ascii="Arial" w:eastAsia="Times New Roman" w:hAnsi="Arial" w:cs="Arial"/>
      <w:i/>
      <w:sz w:val="24"/>
      <w:szCs w:val="24"/>
    </w:rPr>
  </w:style>
  <w:style w:type="character" w:customStyle="1" w:styleId="Heading1Char">
    <w:name w:val="Heading 1 Char"/>
    <w:aliases w:val="V-Main-First Heading Char"/>
    <w:basedOn w:val="DefaultParagraphFont"/>
    <w:link w:val="Heading1"/>
    <w:uiPriority w:val="9"/>
    <w:rsid w:val="008B69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V-Paragraph Headings Char"/>
    <w:link w:val="Heading2"/>
    <w:uiPriority w:val="9"/>
    <w:semiHidden/>
    <w:rsid w:val="00C800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69F8"/>
    <w:pPr>
      <w:ind w:left="720"/>
    </w:pPr>
  </w:style>
  <w:style w:type="character" w:styleId="Hyperlink">
    <w:name w:val="Hyperlink"/>
    <w:basedOn w:val="DefaultParagraphFont"/>
    <w:uiPriority w:val="99"/>
    <w:semiHidden/>
    <w:unhideWhenUsed/>
    <w:rsid w:val="00683394"/>
    <w:rPr>
      <w:color w:val="0000FF"/>
      <w:u w:val="single"/>
    </w:rPr>
  </w:style>
  <w:style w:type="paragraph" w:styleId="NoSpacing">
    <w:name w:val="No Spacing"/>
    <w:basedOn w:val="Normal"/>
    <w:uiPriority w:val="1"/>
    <w:qFormat/>
    <w:rsid w:val="00683394"/>
  </w:style>
  <w:style w:type="paragraph" w:styleId="Header">
    <w:name w:val="header"/>
    <w:basedOn w:val="Normal"/>
    <w:link w:val="HeaderChar"/>
    <w:uiPriority w:val="99"/>
    <w:unhideWhenUsed/>
    <w:rsid w:val="003339F5"/>
    <w:pPr>
      <w:tabs>
        <w:tab w:val="center" w:pos="4680"/>
        <w:tab w:val="right" w:pos="9360"/>
      </w:tabs>
    </w:pPr>
  </w:style>
  <w:style w:type="character" w:customStyle="1" w:styleId="HeaderChar">
    <w:name w:val="Header Char"/>
    <w:basedOn w:val="DefaultParagraphFont"/>
    <w:link w:val="Header"/>
    <w:uiPriority w:val="99"/>
    <w:rsid w:val="003339F5"/>
    <w:rPr>
      <w:rFonts w:ascii="Calibri" w:hAnsi="Calibri" w:cs="Calibri"/>
    </w:rPr>
  </w:style>
  <w:style w:type="paragraph" w:styleId="Footer">
    <w:name w:val="footer"/>
    <w:basedOn w:val="Normal"/>
    <w:link w:val="FooterChar"/>
    <w:uiPriority w:val="99"/>
    <w:unhideWhenUsed/>
    <w:rsid w:val="003339F5"/>
    <w:pPr>
      <w:tabs>
        <w:tab w:val="center" w:pos="4680"/>
        <w:tab w:val="right" w:pos="9360"/>
      </w:tabs>
    </w:pPr>
  </w:style>
  <w:style w:type="character" w:customStyle="1" w:styleId="FooterChar">
    <w:name w:val="Footer Char"/>
    <w:basedOn w:val="DefaultParagraphFont"/>
    <w:link w:val="Footer"/>
    <w:uiPriority w:val="99"/>
    <w:rsid w:val="003339F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10604">
      <w:bodyDiv w:val="1"/>
      <w:marLeft w:val="0"/>
      <w:marRight w:val="0"/>
      <w:marTop w:val="0"/>
      <w:marBottom w:val="0"/>
      <w:divBdr>
        <w:top w:val="none" w:sz="0" w:space="0" w:color="auto"/>
        <w:left w:val="none" w:sz="0" w:space="0" w:color="auto"/>
        <w:bottom w:val="none" w:sz="0" w:space="0" w:color="auto"/>
        <w:right w:val="none" w:sz="0" w:space="0" w:color="auto"/>
      </w:divBdr>
    </w:div>
    <w:div w:id="12630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imacounty.us/DocumentCenter/View/24094/032220_Yakima-Health-District-Issues-Stay-At-Home-Order_English" TargetMode="External"/><Relationship Id="rId13" Type="http://schemas.openxmlformats.org/officeDocument/2006/relationships/hyperlink" Target="https://members.vigilant.org/Preview?fn=5793.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sha.gov/Publications/OSHA3990.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mbers.vigilant.org/News/FullNewsContent?NewsId=433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coronavirus/2019-ncov/community/guidance-business-response.html" TargetMode="External"/><Relationship Id="rId5" Type="http://schemas.openxmlformats.org/officeDocument/2006/relationships/webSettings" Target="webSettings.xml"/><Relationship Id="rId15" Type="http://schemas.openxmlformats.org/officeDocument/2006/relationships/hyperlink" Target="https://www.congress.gov/116/bills/hr6201/BILLS-116hr6201enr.pdf" TargetMode="External"/><Relationship Id="rId10" Type="http://schemas.openxmlformats.org/officeDocument/2006/relationships/hyperlink" Target="https://www.cisa.gov/sites/default/files/publications/CISA-Guidance-on-Essential-Critical-Infrastructure-Workers-1-20-508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sa.gov/identifying-critical-infrastructure-during-covid-19" TargetMode="External"/><Relationship Id="rId14" Type="http://schemas.openxmlformats.org/officeDocument/2006/relationships/hyperlink" Target="https://esd.wa.gov/newsroom/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Davis</dc:creator>
  <cp:lastModifiedBy>Karen Davis</cp:lastModifiedBy>
  <cp:revision>5</cp:revision>
  <dcterms:created xsi:type="dcterms:W3CDTF">2020-03-23T21:35:00Z</dcterms:created>
  <dcterms:modified xsi:type="dcterms:W3CDTF">2020-03-24T00:00:00Z</dcterms:modified>
</cp:coreProperties>
</file>